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360" w:type="dxa"/>
        <w:tblLook w:val="04A0" w:firstRow="1" w:lastRow="0" w:firstColumn="1" w:lastColumn="0" w:noHBand="0" w:noVBand="1"/>
      </w:tblPr>
      <w:tblGrid>
        <w:gridCol w:w="9360"/>
      </w:tblGrid>
      <w:tr w:rsidR="00731E5F" w:rsidRPr="00731E5F" w:rsidTr="00731E5F">
        <w:trPr>
          <w:trHeight w:val="4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36"/>
                <w:szCs w:val="36"/>
              </w:rPr>
            </w:pPr>
            <w:r w:rsidRPr="00731E5F">
              <w:rPr>
                <w:rFonts w:ascii="Arial" w:eastAsia="Times New Roman" w:hAnsi="Arial" w:cs="Arial"/>
                <w:b/>
                <w:bCs/>
                <w:color w:val="000000"/>
                <w:sz w:val="36"/>
                <w:szCs w:val="36"/>
                <w:highlight w:val="lightGray"/>
              </w:rPr>
              <w:t>Number of under</w:t>
            </w:r>
            <w:r w:rsidRPr="00731E5F">
              <w:rPr>
                <w:rFonts w:ascii="Arial" w:eastAsia="Times New Roman" w:hAnsi="Arial" w:cs="Arial"/>
                <w:b/>
                <w:bCs/>
                <w:color w:val="000000"/>
                <w:sz w:val="36"/>
                <w:szCs w:val="36"/>
                <w:highlight w:val="lightGray"/>
              </w:rPr>
              <w:noBreakHyphen/>
              <w:t>five deaths (thousands)</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36"/>
                <w:szCs w:val="36"/>
              </w:rPr>
            </w:pP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t>Data Type Representation</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Count</w:t>
            </w: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t>Topic</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Mortality</w:t>
            </w: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t>Rationale</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Number of under-five deaths measures the magnitude of child mortality.</w:t>
            </w: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t>Definition</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Number of under-five deaths is the count of deaths occurring to a child, before reaching the age of five.</w:t>
            </w: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t>Preferred data sources</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Civil registration with complete coverage</w:t>
            </w: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t>Other possible data sources</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Population census</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Household surveys</w:t>
            </w: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t>Method of estimation</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 xml:space="preserve">These numbers of under-5 deaths are estimates, derived from the estimated UN IGME under-5 mortality rate and the population from World Population Prospects published by the United Nations Department of Economic and Social Affairs; hence they are not necessarily the same as the official national statistics.   More precisely, first, 1q4, the probability of dying between 1 to 4 years is derived from 1q0 and 5q0 as follows: 4q1 = (5q0-1q0)/(1-1q0) where 1q0= probability of dying between 0 to 1, estimated by infant mortality rate estimated by the UN </w:t>
            </w:r>
            <w:proofErr w:type="gramStart"/>
            <w:r w:rsidRPr="00731E5F">
              <w:rPr>
                <w:rFonts w:ascii="Arial" w:eastAsia="Times New Roman" w:hAnsi="Arial" w:cs="Arial"/>
                <w:color w:val="000000"/>
              </w:rPr>
              <w:t>IGME ,</w:t>
            </w:r>
            <w:proofErr w:type="gramEnd"/>
            <w:r w:rsidRPr="00731E5F">
              <w:rPr>
                <w:rFonts w:ascii="Arial" w:eastAsia="Times New Roman" w:hAnsi="Arial" w:cs="Arial"/>
                <w:color w:val="000000"/>
              </w:rPr>
              <w:t xml:space="preserve"> and           5q0=probability of dying between 0 to 5, estimated by under-5 mortality rates by the UN IGME.   Then, for each age group 0 and 1-4, the central death rate M0 and M1 is computed as follows: M0 =  1q0/[1-(1-a)* 1q0] M1 =  4* 4q1 / 4*[1-(1-0.4)*4q1] where a is the fraction of year lived by an infant   = 0.1 for low mortality country and a= 0.3 for high mortality country   Finally, to obtain the number of deaths for each age group 0, 1-4, country population estimates of 0 and 1-4  from the latest available WPP are applied to the death rates of the corresponding age group; the number of deaths are then summed.  </w:t>
            </w: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t>M&amp;E Framework</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Impact</w:t>
            </w: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t>Method of estimation of global and regional aggregates</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Global and regional estimates are derived from numbers of estimated deaths, aggregated by relevant region.</w:t>
            </w: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t>Disaggregation</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Age</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Sex</w:t>
            </w: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t>Unit of Measure</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lastRenderedPageBreak/>
              <w:t>N/A</w:t>
            </w: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t>Expected frequency of data dissemination</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Annual</w:t>
            </w: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t>Expected frequency of data collection</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Annua</w:t>
            </w:r>
            <w:r>
              <w:rPr>
                <w:rFonts w:ascii="Arial" w:eastAsia="Times New Roman" w:hAnsi="Arial" w:cs="Arial"/>
                <w:color w:val="000000"/>
              </w:rPr>
              <w:t>l</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p>
        </w:tc>
      </w:tr>
      <w:tr w:rsidR="00731E5F" w:rsidRPr="00731E5F" w:rsidTr="00731E5F">
        <w:trPr>
          <w:trHeight w:val="4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36"/>
                <w:szCs w:val="36"/>
              </w:rPr>
            </w:pPr>
            <w:r w:rsidRPr="00731E5F">
              <w:rPr>
                <w:rFonts w:ascii="Arial" w:eastAsia="Times New Roman" w:hAnsi="Arial" w:cs="Arial"/>
                <w:b/>
                <w:bCs/>
                <w:color w:val="000000"/>
                <w:sz w:val="36"/>
                <w:szCs w:val="36"/>
                <w:highlight w:val="lightGray"/>
              </w:rPr>
              <w:t>Number of infant deaths (thousands)</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36"/>
                <w:szCs w:val="36"/>
              </w:rPr>
            </w:pP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t>Data Type Representation</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Count</w:t>
            </w: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t>Topic</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Mortality</w:t>
            </w: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t>Rationale</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Number of infant deaths measures the magnitude of child mortality.</w:t>
            </w: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t>Definition</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Number of infant deaths is the count of deaths occurring to an infant, before reaching the age of one.</w:t>
            </w: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t>Preferred data sources</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Civil registration with complete coverage</w:t>
            </w: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t>Other possible data sources</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Household surveys</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Population census</w:t>
            </w: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t>Method of estimation</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 xml:space="preserve">These numbers of infant deaths are estimates, derived from the estimated UN IGME infant mortality rate and the population from World Population Prospects published by the United Nations Department of Economic and Social Affairs; hence they are not necessarily the same as the official national statistics.   More precisely, let's take 1q0= probability of dying between 0 to 1, estimated by infant mortality rate estimated by the UN </w:t>
            </w:r>
            <w:proofErr w:type="gramStart"/>
            <w:r w:rsidRPr="00731E5F">
              <w:rPr>
                <w:rFonts w:ascii="Arial" w:eastAsia="Times New Roman" w:hAnsi="Arial" w:cs="Arial"/>
                <w:color w:val="000000"/>
              </w:rPr>
              <w:t>IGME .</w:t>
            </w:r>
            <w:proofErr w:type="gramEnd"/>
            <w:r w:rsidRPr="00731E5F">
              <w:rPr>
                <w:rFonts w:ascii="Arial" w:eastAsia="Times New Roman" w:hAnsi="Arial" w:cs="Arial"/>
                <w:color w:val="000000"/>
              </w:rPr>
              <w:t xml:space="preserve">   </w:t>
            </w:r>
            <w:proofErr w:type="gramStart"/>
            <w:r w:rsidRPr="00731E5F">
              <w:rPr>
                <w:rFonts w:ascii="Arial" w:eastAsia="Times New Roman" w:hAnsi="Arial" w:cs="Arial"/>
                <w:color w:val="000000"/>
              </w:rPr>
              <w:t>Then,  the</w:t>
            </w:r>
            <w:proofErr w:type="gramEnd"/>
            <w:r w:rsidRPr="00731E5F">
              <w:rPr>
                <w:rFonts w:ascii="Arial" w:eastAsia="Times New Roman" w:hAnsi="Arial" w:cs="Arial"/>
                <w:color w:val="000000"/>
              </w:rPr>
              <w:t xml:space="preserve"> central death rate M0 and M1 is computed as follows: M0 =  1q0/[1-(1-a)* 1q0] where a is the fraction of year lived by an infant   = 0.1 for low mortality country and a= 0.3 for high mortality country   Finally, to obtain the number of deaths, country population estimates of 0 and 1-4  from the latest WPP are applied to the death rates.  </w:t>
            </w: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t>M&amp;E Framework</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Impact</w:t>
            </w: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t>Method of estimation of global and regional aggregates</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Global and regional estimates are derived from numbers of estimated deaths and population for age groups 0 year, aggregated by relevant region.</w:t>
            </w: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t>Unit of Measure</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N/A</w:t>
            </w: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lastRenderedPageBreak/>
              <w:t>Expected frequency of data dissemination</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color w:val="000000"/>
              </w:rPr>
            </w:pPr>
            <w:r w:rsidRPr="00731E5F">
              <w:rPr>
                <w:rFonts w:ascii="Arial" w:eastAsia="Times New Roman" w:hAnsi="Arial" w:cs="Arial"/>
                <w:color w:val="000000"/>
              </w:rPr>
              <w:t>Annual</w:t>
            </w:r>
          </w:p>
        </w:tc>
      </w:tr>
      <w:tr w:rsidR="00731E5F" w:rsidRPr="00731E5F" w:rsidTr="00731E5F">
        <w:trPr>
          <w:trHeight w:val="360"/>
        </w:trPr>
        <w:tc>
          <w:tcPr>
            <w:tcW w:w="9360" w:type="dxa"/>
            <w:tcBorders>
              <w:top w:val="nil"/>
              <w:left w:val="nil"/>
              <w:bottom w:val="nil"/>
              <w:right w:val="nil"/>
            </w:tcBorders>
            <w:shd w:val="clear" w:color="auto" w:fill="auto"/>
            <w:noWrap/>
            <w:vAlign w:val="bottom"/>
            <w:hideMark/>
          </w:tcPr>
          <w:p w:rsidR="00731E5F" w:rsidRPr="00731E5F" w:rsidRDefault="00731E5F" w:rsidP="00731E5F">
            <w:pPr>
              <w:rPr>
                <w:rFonts w:ascii="Arial" w:eastAsia="Times New Roman" w:hAnsi="Arial" w:cs="Arial"/>
                <w:b/>
                <w:bCs/>
                <w:color w:val="000000"/>
                <w:sz w:val="28"/>
                <w:szCs w:val="28"/>
              </w:rPr>
            </w:pPr>
            <w:r w:rsidRPr="00731E5F">
              <w:rPr>
                <w:rFonts w:ascii="Arial" w:eastAsia="Times New Roman" w:hAnsi="Arial" w:cs="Arial"/>
                <w:b/>
                <w:bCs/>
                <w:color w:val="000000"/>
                <w:sz w:val="28"/>
                <w:szCs w:val="28"/>
              </w:rPr>
              <w:t>Expected frequency of data collection</w:t>
            </w:r>
          </w:p>
        </w:tc>
      </w:tr>
      <w:tr w:rsidR="00731E5F" w:rsidRPr="00731E5F" w:rsidTr="00731E5F">
        <w:trPr>
          <w:trHeight w:val="32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eastAsia="Times New Roman" w:hAnsi="Arial" w:cs="Arial"/>
                <w:color w:val="000000"/>
              </w:rPr>
            </w:pPr>
            <w:r w:rsidRPr="00731E5F">
              <w:rPr>
                <w:rFonts w:ascii="Arial" w:eastAsia="Times New Roman" w:hAnsi="Arial" w:cs="Arial"/>
                <w:color w:val="000000"/>
              </w:rPr>
              <w:t>Annual</w:t>
            </w:r>
          </w:p>
          <w:p w:rsidR="00731E5F" w:rsidRDefault="00731E5F" w:rsidP="00731E5F">
            <w:pPr>
              <w:rPr>
                <w:rFonts w:ascii="Arial" w:eastAsia="Times New Roman" w:hAnsi="Arial" w:cs="Arial"/>
                <w:color w:val="000000"/>
              </w:rPr>
            </w:pPr>
          </w:p>
          <w:tbl>
            <w:tblPr>
              <w:tblW w:w="9144" w:type="dxa"/>
              <w:tblLook w:val="04A0" w:firstRow="1" w:lastRow="0" w:firstColumn="1" w:lastColumn="0" w:noHBand="0" w:noVBand="1"/>
            </w:tblPr>
            <w:tblGrid>
              <w:gridCol w:w="9144"/>
            </w:tblGrid>
            <w:tr w:rsidR="00731E5F" w:rsidTr="00731E5F">
              <w:trPr>
                <w:trHeight w:val="460"/>
              </w:trPr>
              <w:tc>
                <w:tcPr>
                  <w:tcW w:w="9144" w:type="dxa"/>
                  <w:tcBorders>
                    <w:top w:val="nil"/>
                    <w:left w:val="nil"/>
                    <w:bottom w:val="nil"/>
                    <w:right w:val="nil"/>
                  </w:tcBorders>
                  <w:shd w:val="clear" w:color="auto" w:fill="auto"/>
                  <w:noWrap/>
                  <w:vAlign w:val="bottom"/>
                </w:tcPr>
                <w:p w:rsidR="00731E5F" w:rsidRDefault="00731E5F" w:rsidP="00731E5F">
                  <w:pPr>
                    <w:rPr>
                      <w:rFonts w:ascii="Arial" w:hAnsi="Arial" w:cs="Arial"/>
                      <w:b/>
                      <w:bCs/>
                      <w:color w:val="000000"/>
                      <w:sz w:val="36"/>
                      <w:szCs w:val="36"/>
                    </w:rPr>
                  </w:pPr>
                </w:p>
              </w:tc>
            </w:tr>
            <w:tr w:rsidR="00731E5F" w:rsidTr="00731E5F">
              <w:trPr>
                <w:trHeight w:val="32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36"/>
                      <w:szCs w:val="36"/>
                    </w:rPr>
                  </w:pPr>
                  <w:r w:rsidRPr="00731E5F">
                    <w:rPr>
                      <w:rFonts w:ascii="Arial" w:hAnsi="Arial" w:cs="Arial"/>
                      <w:b/>
                      <w:bCs/>
                      <w:color w:val="000000"/>
                      <w:sz w:val="36"/>
                      <w:szCs w:val="36"/>
                      <w:highlight w:val="lightGray"/>
                    </w:rPr>
                    <w:t>Number of neonatal deaths (thousands)</w:t>
                  </w:r>
                </w:p>
              </w:tc>
            </w:tr>
            <w:tr w:rsidR="00731E5F" w:rsidTr="00731E5F">
              <w:trPr>
                <w:trHeight w:val="36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t>Data Type Representation</w:t>
                  </w:r>
                </w:p>
              </w:tc>
            </w:tr>
            <w:tr w:rsidR="00731E5F" w:rsidTr="00731E5F">
              <w:trPr>
                <w:trHeight w:val="32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Count</w:t>
                  </w:r>
                </w:p>
              </w:tc>
            </w:tr>
            <w:tr w:rsidR="00731E5F" w:rsidTr="00731E5F">
              <w:trPr>
                <w:trHeight w:val="36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t>Topic</w:t>
                  </w:r>
                </w:p>
              </w:tc>
            </w:tr>
            <w:tr w:rsidR="00731E5F" w:rsidTr="00731E5F">
              <w:trPr>
                <w:trHeight w:val="32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Mortality</w:t>
                  </w:r>
                </w:p>
              </w:tc>
            </w:tr>
            <w:tr w:rsidR="00731E5F" w:rsidTr="00731E5F">
              <w:trPr>
                <w:trHeight w:val="36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t>Rationale</w:t>
                  </w:r>
                </w:p>
              </w:tc>
            </w:tr>
            <w:tr w:rsidR="00731E5F" w:rsidTr="00731E5F">
              <w:trPr>
                <w:trHeight w:val="32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 xml:space="preserve">Mortality during the neonatal period accounts for a large proportion of child </w:t>
                  </w:r>
                  <w:proofErr w:type="gramStart"/>
                  <w:r>
                    <w:rPr>
                      <w:rFonts w:ascii="Arial" w:hAnsi="Arial" w:cs="Arial"/>
                      <w:color w:val="000000"/>
                    </w:rPr>
                    <w:t>deaths, and</w:t>
                  </w:r>
                  <w:proofErr w:type="gramEnd"/>
                  <w:r>
                    <w:rPr>
                      <w:rFonts w:ascii="Arial" w:hAnsi="Arial" w:cs="Arial"/>
                      <w:color w:val="000000"/>
                    </w:rPr>
                    <w:t xml:space="preserve"> is considered to be a useful indicator of maternal and newborn neonatal health and care. Generally, the proportion of neonatal deaths among child deaths under the age of five is expected to increase as countries continue to witness a decline in child mortality.</w:t>
                  </w:r>
                </w:p>
              </w:tc>
            </w:tr>
            <w:tr w:rsidR="00731E5F" w:rsidTr="00731E5F">
              <w:trPr>
                <w:trHeight w:val="36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t>Definition</w:t>
                  </w:r>
                </w:p>
              </w:tc>
            </w:tr>
            <w:tr w:rsidR="00731E5F" w:rsidTr="00731E5F">
              <w:trPr>
                <w:trHeight w:val="32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Number of deaths during the first 28 completed days of life in a given year or other period.   Neonatal deaths (deaths among live births during the first 28 completed days of life) may be subdivided into early neonatal deaths, occurring during the first 7 days of life, and late neonatal deaths, occurring after the 7th day but before the 28th completed day of life.</w:t>
                  </w:r>
                </w:p>
              </w:tc>
            </w:tr>
            <w:tr w:rsidR="00731E5F" w:rsidTr="00731E5F">
              <w:trPr>
                <w:trHeight w:val="36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t>Associated terms</w:t>
                  </w:r>
                </w:p>
              </w:tc>
            </w:tr>
            <w:tr w:rsidR="00731E5F" w:rsidTr="00731E5F">
              <w:trPr>
                <w:trHeight w:val="32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 xml:space="preserve">Neonatal </w:t>
                  </w:r>
                  <w:proofErr w:type="gramStart"/>
                  <w:r>
                    <w:rPr>
                      <w:rFonts w:ascii="Arial" w:hAnsi="Arial" w:cs="Arial"/>
                      <w:color w:val="000000"/>
                    </w:rPr>
                    <w:t>period :</w:t>
                  </w:r>
                  <w:proofErr w:type="gramEnd"/>
                  <w:r>
                    <w:rPr>
                      <w:rFonts w:ascii="Arial" w:hAnsi="Arial" w:cs="Arial"/>
                      <w:color w:val="000000"/>
                    </w:rPr>
                    <w:t xml:space="preserve"> A period that commences at birth and ends 28 completed days after birth</w:t>
                  </w:r>
                </w:p>
              </w:tc>
            </w:tr>
            <w:tr w:rsidR="00731E5F" w:rsidTr="00731E5F">
              <w:trPr>
                <w:trHeight w:val="36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t>Preferred data sources</w:t>
                  </w:r>
                </w:p>
              </w:tc>
            </w:tr>
            <w:tr w:rsidR="00731E5F" w:rsidTr="00731E5F">
              <w:trPr>
                <w:trHeight w:val="32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Civil registration with complete coverage</w:t>
                  </w:r>
                </w:p>
              </w:tc>
            </w:tr>
            <w:tr w:rsidR="00731E5F" w:rsidTr="00731E5F">
              <w:trPr>
                <w:trHeight w:val="36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t>Other possible data sources</w:t>
                  </w:r>
                </w:p>
              </w:tc>
            </w:tr>
            <w:tr w:rsidR="00731E5F" w:rsidTr="00731E5F">
              <w:trPr>
                <w:trHeight w:val="32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Household surveys</w:t>
                  </w:r>
                </w:p>
              </w:tc>
            </w:tr>
            <w:tr w:rsidR="00731E5F" w:rsidTr="00731E5F">
              <w:trPr>
                <w:trHeight w:val="36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t>Method of measurement</w:t>
                  </w:r>
                </w:p>
              </w:tc>
            </w:tr>
            <w:tr w:rsidR="00731E5F" w:rsidTr="00731E5F">
              <w:trPr>
                <w:trHeight w:val="32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Data from civil registration: The count of the number of neonatal deaths. This system provides annual data.   Data from household surveys: Calculations are based on full birth history, whereby women are asked for the date of birth of each of their children, whether the child is still alive, and if not the age at death.</w:t>
                  </w:r>
                </w:p>
              </w:tc>
            </w:tr>
            <w:tr w:rsidR="00731E5F" w:rsidTr="00731E5F">
              <w:trPr>
                <w:trHeight w:val="36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t>Method of estimation</w:t>
                  </w:r>
                </w:p>
              </w:tc>
            </w:tr>
            <w:tr w:rsidR="00731E5F" w:rsidTr="00731E5F">
              <w:trPr>
                <w:trHeight w:val="32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 xml:space="preserve">These numbers of neonatal deaths are estimates, derived from the estimated UN IGME neonatal mortality rate multiplied by the live births. The live births were calculated by taking the infant population from the World Population Prospects: the 2012 revision (15) and adding back the deaths in the neonatal and post-neonatal periods while accounting for the fraction of period lived before the death. These </w:t>
                  </w:r>
                  <w:r>
                    <w:rPr>
                      <w:rFonts w:ascii="Arial" w:hAnsi="Arial" w:cs="Arial"/>
                      <w:color w:val="000000"/>
                    </w:rPr>
                    <w:lastRenderedPageBreak/>
                    <w:t>neonatal deaths have been estimated by applying methods to all Member States to the available data from Member States, that aim to ensure comparability of across countries and time; hence they are not necessarily the same as the official national data.</w:t>
                  </w:r>
                </w:p>
              </w:tc>
            </w:tr>
            <w:tr w:rsidR="00731E5F" w:rsidTr="00731E5F">
              <w:trPr>
                <w:trHeight w:val="36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lastRenderedPageBreak/>
                    <w:t>Method of estimation of global and regional aggregates</w:t>
                  </w:r>
                </w:p>
              </w:tc>
            </w:tr>
            <w:tr w:rsidR="00731E5F" w:rsidTr="00731E5F">
              <w:trPr>
                <w:trHeight w:val="32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Sum by region</w:t>
                  </w:r>
                </w:p>
              </w:tc>
            </w:tr>
            <w:tr w:rsidR="00731E5F" w:rsidTr="00731E5F">
              <w:trPr>
                <w:trHeight w:val="36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t>Expected frequency of data dissemination</w:t>
                  </w:r>
                </w:p>
              </w:tc>
            </w:tr>
            <w:tr w:rsidR="00731E5F" w:rsidTr="00731E5F">
              <w:trPr>
                <w:trHeight w:val="32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Annual</w:t>
                  </w:r>
                </w:p>
              </w:tc>
            </w:tr>
            <w:tr w:rsidR="00731E5F" w:rsidTr="00731E5F">
              <w:trPr>
                <w:trHeight w:val="36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t>Expected frequency of data collection</w:t>
                  </w:r>
                </w:p>
              </w:tc>
            </w:tr>
            <w:tr w:rsidR="00731E5F" w:rsidTr="00731E5F">
              <w:trPr>
                <w:trHeight w:val="32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Annual</w:t>
                  </w:r>
                </w:p>
              </w:tc>
            </w:tr>
            <w:tr w:rsidR="00731E5F" w:rsidTr="00731E5F">
              <w:trPr>
                <w:trHeight w:val="36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t>Limitations</w:t>
                  </w:r>
                </w:p>
              </w:tc>
            </w:tr>
            <w:tr w:rsidR="00731E5F" w:rsidTr="00731E5F">
              <w:trPr>
                <w:trHeight w:val="320"/>
              </w:trPr>
              <w:tc>
                <w:tcPr>
                  <w:tcW w:w="9144"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The reliability of estimates of neonatal mortality depends on the accuracy and completeness of reporting and recording of births and deaths. Underreporting and misclassification are common, especially for deaths occurring early in life.</w:t>
                  </w:r>
                </w:p>
              </w:tc>
            </w:tr>
          </w:tbl>
          <w:p w:rsidR="00731E5F" w:rsidRDefault="00731E5F" w:rsidP="00731E5F">
            <w:pPr>
              <w:rPr>
                <w:rFonts w:ascii="Arial" w:eastAsia="Times New Roman" w:hAnsi="Arial" w:cs="Arial"/>
                <w:color w:val="000000"/>
              </w:rPr>
            </w:pPr>
          </w:p>
          <w:p w:rsidR="00731E5F" w:rsidRDefault="00731E5F" w:rsidP="00731E5F">
            <w:pPr>
              <w:rPr>
                <w:rFonts w:ascii="Arial" w:eastAsia="Times New Roman" w:hAnsi="Arial" w:cs="Arial"/>
                <w:color w:val="000000"/>
              </w:rPr>
            </w:pPr>
          </w:p>
          <w:tbl>
            <w:tblPr>
              <w:tblW w:w="9360" w:type="dxa"/>
              <w:tblLook w:val="04A0" w:firstRow="1" w:lastRow="0" w:firstColumn="1" w:lastColumn="0" w:noHBand="0" w:noVBand="1"/>
            </w:tblPr>
            <w:tblGrid>
              <w:gridCol w:w="9144"/>
            </w:tblGrid>
            <w:tr w:rsidR="00731E5F" w:rsidTr="00731E5F">
              <w:trPr>
                <w:trHeight w:val="46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36"/>
                      <w:szCs w:val="36"/>
                    </w:rPr>
                  </w:pPr>
                  <w:r w:rsidRPr="00731E5F">
                    <w:rPr>
                      <w:rFonts w:ascii="Arial" w:hAnsi="Arial" w:cs="Arial"/>
                      <w:b/>
                      <w:bCs/>
                      <w:color w:val="000000"/>
                      <w:sz w:val="36"/>
                      <w:szCs w:val="36"/>
                      <w:highlight w:val="lightGray"/>
                    </w:rPr>
                    <w:t>Mortality rate for 5-14 year-olds (probability of dying per 1000 children aged 5-14 years)</w:t>
                  </w:r>
                </w:p>
              </w:tc>
            </w:tr>
            <w:tr w:rsidR="00731E5F" w:rsidTr="00731E5F">
              <w:trPr>
                <w:trHeight w:val="32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36"/>
                      <w:szCs w:val="36"/>
                    </w:rPr>
                  </w:pPr>
                </w:p>
              </w:tc>
            </w:tr>
            <w:tr w:rsidR="00731E5F" w:rsidTr="00731E5F">
              <w:trPr>
                <w:trHeight w:val="36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t>Data Type Representation</w:t>
                  </w:r>
                </w:p>
              </w:tc>
            </w:tr>
            <w:tr w:rsidR="00731E5F" w:rsidTr="00731E5F">
              <w:trPr>
                <w:trHeight w:val="32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Rate</w:t>
                  </w:r>
                </w:p>
              </w:tc>
            </w:tr>
            <w:tr w:rsidR="00731E5F" w:rsidTr="00731E5F">
              <w:trPr>
                <w:trHeight w:val="36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t>Topic</w:t>
                  </w:r>
                </w:p>
              </w:tc>
            </w:tr>
            <w:tr w:rsidR="00731E5F" w:rsidTr="00731E5F">
              <w:trPr>
                <w:trHeight w:val="32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Mortality</w:t>
                  </w:r>
                </w:p>
              </w:tc>
            </w:tr>
            <w:tr w:rsidR="00731E5F" w:rsidTr="00731E5F">
              <w:trPr>
                <w:trHeight w:val="36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t>Definition</w:t>
                  </w:r>
                </w:p>
              </w:tc>
            </w:tr>
            <w:tr w:rsidR="00731E5F" w:rsidTr="00731E5F">
              <w:trPr>
                <w:trHeight w:val="32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The probability that a child aged 5 dies before reaching its 15th birthday.</w:t>
                  </w:r>
                </w:p>
              </w:tc>
            </w:tr>
            <w:tr w:rsidR="00731E5F" w:rsidTr="00731E5F">
              <w:trPr>
                <w:trHeight w:val="36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t>Associated terms</w:t>
                  </w:r>
                </w:p>
              </w:tc>
            </w:tr>
            <w:tr w:rsidR="00731E5F" w:rsidTr="00731E5F">
              <w:trPr>
                <w:trHeight w:val="32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 xml:space="preserve">Live </w:t>
                  </w:r>
                  <w:proofErr w:type="gramStart"/>
                  <w:r>
                    <w:rPr>
                      <w:rFonts w:ascii="Arial" w:hAnsi="Arial" w:cs="Arial"/>
                      <w:color w:val="000000"/>
                    </w:rPr>
                    <w:t>birth :</w:t>
                  </w:r>
                  <w:proofErr w:type="gramEnd"/>
                  <w:r>
                    <w:rPr>
                      <w:rFonts w:ascii="Arial" w:hAnsi="Arial" w:cs="Arial"/>
                      <w:color w:val="000000"/>
                    </w:rPr>
                    <w:t xml:space="preserve"> The complete expulsion or extraction from its mother of a product of conception, irrespective of the duration of the pregnancy, which, after such separation, breathes or shows any other evidence of life such as beating of the heart, pulsation of the umbilical cord, or definite movement of voluntary muscles, whether or not the umbilical cord has been cut or the placenta is attached. (ICD-10)</w:t>
                  </w:r>
                </w:p>
              </w:tc>
            </w:tr>
            <w:tr w:rsidR="00731E5F" w:rsidTr="00731E5F">
              <w:trPr>
                <w:trHeight w:val="36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t>Preferred data sources</w:t>
                  </w:r>
                </w:p>
              </w:tc>
            </w:tr>
            <w:tr w:rsidR="00731E5F" w:rsidTr="00731E5F">
              <w:trPr>
                <w:trHeight w:val="32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Civil registration with complete coverage</w:t>
                  </w:r>
                </w:p>
              </w:tc>
            </w:tr>
            <w:tr w:rsidR="00731E5F" w:rsidTr="00731E5F">
              <w:trPr>
                <w:trHeight w:val="36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t>Method of measurement</w:t>
                  </w:r>
                </w:p>
              </w:tc>
            </w:tr>
            <w:tr w:rsidR="00731E5F" w:rsidTr="00731E5F">
              <w:trPr>
                <w:trHeight w:val="32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 xml:space="preserve">Most frequently used methods using the above-mentioned data sources are as follows: • Civil registration: Number of deaths at age 5-14 and population of the same age are used to calculate death rates which are then converted into age-specific probability of dying. • Census: Censuses often include questions on household deaths in the last 12 months, which can be used to calculate mortality estimates for children aged 5-14. • Surveys: Mortality estimates of children aged 5-14 can be derived from the full birth history module which contains a series of </w:t>
                  </w:r>
                  <w:r>
                    <w:rPr>
                      <w:rFonts w:ascii="Arial" w:hAnsi="Arial" w:cs="Arial"/>
                      <w:color w:val="000000"/>
                    </w:rPr>
                    <w:lastRenderedPageBreak/>
                    <w:t>detailed questions on each child a woman has given birth to during her lifetime. The full birth histories were used to estimate the probability of dying in children aged 5 to 14 (10q5) for three reference periods prior to each survey (0-3 years prior to the survey, 4-7 years, and 8-11 years). Summary birth histories collected in censuses and surveys were not included, because indirect demographic methods used to convert such data into mortality indices were originally designed to estimate mortality in children below age 5, and there has been little assessment of the performance of these indirect approaches when applied to older children</w:t>
                  </w:r>
                </w:p>
              </w:tc>
            </w:tr>
            <w:tr w:rsidR="00731E5F" w:rsidTr="00731E5F">
              <w:trPr>
                <w:trHeight w:val="36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lastRenderedPageBreak/>
                    <w:t>Method of estimation</w:t>
                  </w:r>
                </w:p>
              </w:tc>
            </w:tr>
            <w:tr w:rsidR="00731E5F" w:rsidTr="00731E5F">
              <w:trPr>
                <w:trHeight w:val="32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 The statistical model developed for under-five mortality (Bayesian B-splines bias-adjusted model – or B3 model) was used to obtain a smooth trend curve averaging over the estimates and accounting for potential outliers and biases in data series. (see http://apps.who.int/gho/data/node.wrapper.imr?x-id=2712 for more detailed explanation).  </w:t>
                  </w:r>
                </w:p>
              </w:tc>
            </w:tr>
            <w:tr w:rsidR="00731E5F" w:rsidTr="00731E5F">
              <w:trPr>
                <w:trHeight w:val="36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t>M&amp;E Framework</w:t>
                  </w:r>
                </w:p>
              </w:tc>
            </w:tr>
            <w:tr w:rsidR="00731E5F" w:rsidTr="00731E5F">
              <w:trPr>
                <w:trHeight w:val="32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Impact</w:t>
                  </w:r>
                </w:p>
              </w:tc>
            </w:tr>
            <w:tr w:rsidR="00731E5F" w:rsidTr="00731E5F">
              <w:trPr>
                <w:trHeight w:val="36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t>Method of estimation of global and regional aggregates</w:t>
                  </w:r>
                </w:p>
              </w:tc>
            </w:tr>
            <w:tr w:rsidR="00731E5F" w:rsidTr="00731E5F">
              <w:trPr>
                <w:trHeight w:val="32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Global and regional estimates are derived from numbers of estimated deaths and population for age groups 5-14 year, aggregated by relevant region.</w:t>
                  </w:r>
                </w:p>
              </w:tc>
            </w:tr>
            <w:tr w:rsidR="00731E5F" w:rsidTr="00731E5F">
              <w:trPr>
                <w:trHeight w:val="36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t>Unit of Measure</w:t>
                  </w:r>
                </w:p>
              </w:tc>
            </w:tr>
            <w:tr w:rsidR="00731E5F" w:rsidTr="00731E5F">
              <w:trPr>
                <w:trHeight w:val="32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Deaths per 1000 live population</w:t>
                  </w:r>
                </w:p>
              </w:tc>
            </w:tr>
            <w:tr w:rsidR="00731E5F" w:rsidTr="00731E5F">
              <w:trPr>
                <w:trHeight w:val="36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t>Expected frequency of data dissemination</w:t>
                  </w:r>
                </w:p>
              </w:tc>
            </w:tr>
            <w:tr w:rsidR="00731E5F" w:rsidTr="00731E5F">
              <w:trPr>
                <w:trHeight w:val="32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Annual</w:t>
                  </w:r>
                </w:p>
              </w:tc>
            </w:tr>
            <w:tr w:rsidR="00731E5F" w:rsidTr="00731E5F">
              <w:trPr>
                <w:trHeight w:val="36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b/>
                      <w:bCs/>
                      <w:color w:val="000000"/>
                      <w:sz w:val="28"/>
                      <w:szCs w:val="28"/>
                    </w:rPr>
                  </w:pPr>
                  <w:r>
                    <w:rPr>
                      <w:rFonts w:ascii="Arial" w:hAnsi="Arial" w:cs="Arial"/>
                      <w:b/>
                      <w:bCs/>
                      <w:color w:val="000000"/>
                      <w:sz w:val="28"/>
                      <w:szCs w:val="28"/>
                    </w:rPr>
                    <w:t>Expected frequency of data collection</w:t>
                  </w:r>
                </w:p>
              </w:tc>
            </w:tr>
            <w:tr w:rsidR="00731E5F" w:rsidTr="00731E5F">
              <w:trPr>
                <w:trHeight w:val="320"/>
              </w:trPr>
              <w:tc>
                <w:tcPr>
                  <w:tcW w:w="9360" w:type="dxa"/>
                  <w:tcBorders>
                    <w:top w:val="nil"/>
                    <w:left w:val="nil"/>
                    <w:bottom w:val="nil"/>
                    <w:right w:val="nil"/>
                  </w:tcBorders>
                  <w:shd w:val="clear" w:color="auto" w:fill="auto"/>
                  <w:noWrap/>
                  <w:vAlign w:val="bottom"/>
                  <w:hideMark/>
                </w:tcPr>
                <w:p w:rsidR="00731E5F" w:rsidRDefault="00731E5F" w:rsidP="00731E5F">
                  <w:pPr>
                    <w:rPr>
                      <w:rFonts w:ascii="Arial" w:hAnsi="Arial" w:cs="Arial"/>
                      <w:color w:val="000000"/>
                    </w:rPr>
                  </w:pPr>
                  <w:r>
                    <w:rPr>
                      <w:rFonts w:ascii="Arial" w:hAnsi="Arial" w:cs="Arial"/>
                      <w:color w:val="000000"/>
                    </w:rPr>
                    <w:t>Annual</w:t>
                  </w:r>
                </w:p>
              </w:tc>
            </w:tr>
          </w:tbl>
          <w:p w:rsidR="00731E5F" w:rsidRPr="00731E5F" w:rsidRDefault="00731E5F" w:rsidP="00731E5F">
            <w:pPr>
              <w:rPr>
                <w:rFonts w:ascii="Arial" w:eastAsia="Times New Roman" w:hAnsi="Arial" w:cs="Arial"/>
                <w:color w:val="000000"/>
              </w:rPr>
            </w:pPr>
          </w:p>
        </w:tc>
      </w:tr>
    </w:tbl>
    <w:p w:rsidR="00616D1B" w:rsidRDefault="00616D1B" w:rsidP="00616D1B"/>
    <w:p w:rsidR="00731E5F" w:rsidRDefault="00731E5F" w:rsidP="00616D1B"/>
    <w:p w:rsidR="00731E5F" w:rsidRDefault="00731E5F" w:rsidP="00616D1B">
      <w:bookmarkStart w:id="0" w:name="_GoBack"/>
      <w:bookmarkEnd w:id="0"/>
    </w:p>
    <w:sectPr w:rsidR="00731E5F" w:rsidSect="00645C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467"/>
    <w:rsid w:val="000822DF"/>
    <w:rsid w:val="003D30BD"/>
    <w:rsid w:val="00616D1B"/>
    <w:rsid w:val="00645CC4"/>
    <w:rsid w:val="00731E5F"/>
    <w:rsid w:val="00923252"/>
    <w:rsid w:val="00972467"/>
    <w:rsid w:val="00A570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99C437A"/>
  <w15:chartTrackingRefBased/>
  <w15:docId w15:val="{CB697BDF-2F6F-BD41-BE79-99BD8C438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3143018">
      <w:bodyDiv w:val="1"/>
      <w:marLeft w:val="0"/>
      <w:marRight w:val="0"/>
      <w:marTop w:val="0"/>
      <w:marBottom w:val="0"/>
      <w:divBdr>
        <w:top w:val="none" w:sz="0" w:space="0" w:color="auto"/>
        <w:left w:val="none" w:sz="0" w:space="0" w:color="auto"/>
        <w:bottom w:val="none" w:sz="0" w:space="0" w:color="auto"/>
        <w:right w:val="none" w:sz="0" w:space="0" w:color="auto"/>
      </w:divBdr>
    </w:div>
    <w:div w:id="1980528558">
      <w:bodyDiv w:val="1"/>
      <w:marLeft w:val="0"/>
      <w:marRight w:val="0"/>
      <w:marTop w:val="0"/>
      <w:marBottom w:val="0"/>
      <w:divBdr>
        <w:top w:val="none" w:sz="0" w:space="0" w:color="auto"/>
        <w:left w:val="none" w:sz="0" w:space="0" w:color="auto"/>
        <w:bottom w:val="none" w:sz="0" w:space="0" w:color="auto"/>
        <w:right w:val="none" w:sz="0" w:space="0" w:color="auto"/>
      </w:divBdr>
    </w:div>
    <w:div w:id="2023706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1306</Words>
  <Characters>7448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merino</dc:creator>
  <cp:keywords/>
  <dc:description/>
  <cp:lastModifiedBy>miguel merino</cp:lastModifiedBy>
  <cp:revision>3</cp:revision>
  <dcterms:created xsi:type="dcterms:W3CDTF">2018-07-29T01:28:00Z</dcterms:created>
  <dcterms:modified xsi:type="dcterms:W3CDTF">2018-07-29T01:30:00Z</dcterms:modified>
</cp:coreProperties>
</file>